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0000" w14:textId="1CA3A3C1" w:rsidR="00F13F80" w:rsidRDefault="00A16CD6">
      <w:pPr>
        <w:widowControl w:val="0"/>
        <w:spacing w:line="240" w:lineRule="exact"/>
        <w:ind w:left="4248" w:right="-143" w:firstLine="709"/>
        <w:jc w:val="both"/>
        <w:rPr>
          <w:sz w:val="28"/>
        </w:rPr>
      </w:pPr>
      <w:r>
        <w:rPr>
          <w:sz w:val="28"/>
        </w:rPr>
        <w:t>УТВЕРЖДЕНО</w:t>
      </w:r>
    </w:p>
    <w:p w14:paraId="06000000" w14:textId="77777777" w:rsidR="00F13F80" w:rsidRDefault="00A16CD6">
      <w:pPr>
        <w:widowControl w:val="0"/>
        <w:spacing w:line="240" w:lineRule="exact"/>
        <w:ind w:left="4961" w:right="-143"/>
        <w:jc w:val="both"/>
        <w:rPr>
          <w:sz w:val="28"/>
        </w:rPr>
      </w:pPr>
      <w:r>
        <w:rPr>
          <w:sz w:val="28"/>
        </w:rPr>
        <w:t xml:space="preserve">приказом прокурора области </w:t>
      </w:r>
    </w:p>
    <w:p w14:paraId="07000000" w14:textId="77777777" w:rsidR="00F13F80" w:rsidRDefault="00A16CD6">
      <w:pPr>
        <w:widowControl w:val="0"/>
        <w:spacing w:line="240" w:lineRule="exact"/>
        <w:ind w:left="4961" w:right="-143"/>
        <w:jc w:val="both"/>
        <w:rPr>
          <w:sz w:val="28"/>
        </w:rPr>
      </w:pPr>
      <w:r>
        <w:rPr>
          <w:sz w:val="28"/>
        </w:rPr>
        <w:t>и автономного округа</w:t>
      </w:r>
    </w:p>
    <w:p w14:paraId="08000000" w14:textId="77777777" w:rsidR="00F13F80" w:rsidRDefault="00A16CD6">
      <w:pPr>
        <w:widowControl w:val="0"/>
        <w:spacing w:line="240" w:lineRule="exact"/>
        <w:ind w:left="4248" w:right="-143" w:firstLine="709"/>
        <w:jc w:val="both"/>
        <w:rPr>
          <w:color w:val="FFFFFF"/>
          <w:sz w:val="28"/>
          <w:u w:val="single"/>
        </w:rPr>
      </w:pPr>
      <w:r>
        <w:rPr>
          <w:sz w:val="28"/>
        </w:rPr>
        <w:t>от______________№_____________</w:t>
      </w:r>
      <w:r>
        <w:rPr>
          <w:color w:val="FFFFFF"/>
          <w:sz w:val="28"/>
        </w:rPr>
        <w:t>____</w:t>
      </w:r>
    </w:p>
    <w:p w14:paraId="09000000" w14:textId="77777777" w:rsidR="00F13F80" w:rsidRDefault="00A16CD6">
      <w:pPr>
        <w:pStyle w:val="10"/>
        <w:widowControl w:val="0"/>
      </w:pPr>
      <w:r>
        <w:t xml:space="preserve">  </w:t>
      </w:r>
    </w:p>
    <w:p w14:paraId="0A000000" w14:textId="77777777" w:rsidR="00F13F80" w:rsidRDefault="00F13F80">
      <w:pPr>
        <w:widowControl w:val="0"/>
        <w:rPr>
          <w:sz w:val="28"/>
        </w:rPr>
      </w:pPr>
    </w:p>
    <w:p w14:paraId="0B000000" w14:textId="77777777" w:rsidR="00F13F80" w:rsidRDefault="00F13F80">
      <w:pPr>
        <w:widowControl w:val="0"/>
        <w:rPr>
          <w:sz w:val="28"/>
        </w:rPr>
      </w:pPr>
    </w:p>
    <w:p w14:paraId="0C000000" w14:textId="77777777" w:rsidR="00F13F80" w:rsidRDefault="00A16CD6">
      <w:pPr>
        <w:widowControl w:val="0"/>
        <w:tabs>
          <w:tab w:val="left" w:pos="709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0D000000" w14:textId="77777777" w:rsidR="00F13F80" w:rsidRDefault="00A16CD6">
      <w:pPr>
        <w:widowControl w:val="0"/>
        <w:tabs>
          <w:tab w:val="left" w:pos="709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 конкурсе творческих работ среди учащихся общеобразовательных организаций и студентов высших учебных заведений Архангельской области и Ненецкого автономного округа «Цифровой олимп»</w:t>
      </w:r>
    </w:p>
    <w:p w14:paraId="0E000000" w14:textId="77777777" w:rsidR="00F13F80" w:rsidRDefault="00F13F80">
      <w:pPr>
        <w:widowControl w:val="0"/>
        <w:tabs>
          <w:tab w:val="left" w:pos="709"/>
        </w:tabs>
        <w:spacing w:line="240" w:lineRule="exact"/>
        <w:jc w:val="center"/>
        <w:rPr>
          <w:b/>
          <w:sz w:val="28"/>
        </w:rPr>
      </w:pPr>
    </w:p>
    <w:p w14:paraId="0F000000" w14:textId="77777777" w:rsidR="00F13F80" w:rsidRDefault="00A16CD6">
      <w:pPr>
        <w:widowControl w:val="0"/>
        <w:numPr>
          <w:ilvl w:val="0"/>
          <w:numId w:val="1"/>
        </w:num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14:paraId="10000000" w14:textId="77777777" w:rsidR="00F13F80" w:rsidRDefault="00F13F80">
      <w:pPr>
        <w:widowControl w:val="0"/>
        <w:tabs>
          <w:tab w:val="left" w:pos="709"/>
        </w:tabs>
        <w:jc w:val="center"/>
        <w:rPr>
          <w:b/>
          <w:sz w:val="28"/>
        </w:rPr>
      </w:pPr>
    </w:p>
    <w:p w14:paraId="11000000" w14:textId="77777777" w:rsidR="00F13F80" w:rsidRDefault="00A16CD6">
      <w:pPr>
        <w:widowControl w:val="0"/>
        <w:tabs>
          <w:tab w:val="left" w:pos="709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1.1. Данное Положение определяет порядок организации и проведения конкурса творческих работ среди учащихся общеобразовательных организаций и студентов высших учебных заведений Архангельской области и Ненецкого автономного округа </w:t>
      </w:r>
      <w:bookmarkStart w:id="0" w:name="_Hlk209450520"/>
      <w:r>
        <w:rPr>
          <w:sz w:val="28"/>
        </w:rPr>
        <w:t>«Цифровой олимп»</w:t>
      </w:r>
      <w:bookmarkEnd w:id="0"/>
      <w:r>
        <w:rPr>
          <w:sz w:val="28"/>
        </w:rPr>
        <w:t xml:space="preserve"> (далее – Конкурс).</w:t>
      </w:r>
    </w:p>
    <w:p w14:paraId="12000000" w14:textId="77777777" w:rsidR="00F13F80" w:rsidRDefault="00A16CD6">
      <w:pPr>
        <w:widowControl w:val="0"/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1.2. Конкурс проводится в целях обеспечения правового просвещения и правового информирования граждан по вопросам правовой, финансовой и цифровой грамотности, а также в целях профилактики преступлений, совершаемых с использованием информационно-телекоммуникационных технологий, недопущения фактов вовлечения несовершеннолетних и молодежи в преступную деятельность, внедрения и популяризации основ цифровой культуры и принципов информационной безопасности.</w:t>
      </w:r>
    </w:p>
    <w:p w14:paraId="13000000" w14:textId="77777777" w:rsidR="00F13F80" w:rsidRDefault="00A16CD6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1.3. Организатором Конкурса является прокуратура Архангельской области и Ненецкого автономного округа.</w:t>
      </w:r>
    </w:p>
    <w:p w14:paraId="14000000" w14:textId="77777777" w:rsidR="00F13F80" w:rsidRDefault="00A16CD6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1.4. Наряду с организатором Конкурса, в состав конкурсной комиссии в качестве партнеров входят:</w:t>
      </w:r>
    </w:p>
    <w:p w14:paraId="15000000" w14:textId="77777777" w:rsidR="00F13F80" w:rsidRDefault="00A16CD6">
      <w:pPr>
        <w:widowControl w:val="0"/>
        <w:tabs>
          <w:tab w:val="left" w:pos="709"/>
        </w:tabs>
        <w:jc w:val="both"/>
        <w:rPr>
          <w:sz w:val="28"/>
        </w:rPr>
      </w:pPr>
      <w:bookmarkStart w:id="1" w:name="_Hlk208925865"/>
      <w:r>
        <w:rPr>
          <w:sz w:val="28"/>
        </w:rPr>
        <w:tab/>
        <w:t>1) Отделение по Архангельской области Северо-Западного главного управления Центрального банка Российской Федерации</w:t>
      </w:r>
      <w:bookmarkEnd w:id="1"/>
      <w:r>
        <w:rPr>
          <w:sz w:val="28"/>
        </w:rPr>
        <w:t>;</w:t>
      </w:r>
    </w:p>
    <w:p w14:paraId="16000000" w14:textId="77777777" w:rsidR="00F13F80" w:rsidRDefault="00A16CD6">
      <w:pPr>
        <w:widowControl w:val="0"/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2) Управление министерства внутренних дел России по Архангельской области;</w:t>
      </w:r>
    </w:p>
    <w:p w14:paraId="17000000" w14:textId="77777777" w:rsidR="00F13F80" w:rsidRDefault="00A16CD6">
      <w:pPr>
        <w:widowControl w:val="0"/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3) Управление министерства внутренних дел России по Ненецкому автономному округу.</w:t>
      </w:r>
    </w:p>
    <w:p w14:paraId="18000000" w14:textId="77777777" w:rsidR="00F13F80" w:rsidRDefault="00A16CD6">
      <w:pPr>
        <w:widowControl w:val="0"/>
        <w:tabs>
          <w:tab w:val="left" w:pos="709"/>
        </w:tabs>
        <w:ind w:left="709"/>
        <w:jc w:val="both"/>
        <w:rPr>
          <w:sz w:val="28"/>
        </w:rPr>
      </w:pPr>
      <w:r>
        <w:rPr>
          <w:sz w:val="28"/>
        </w:rPr>
        <w:t>1.5. Участие в Конкурсе добровольное.</w:t>
      </w:r>
    </w:p>
    <w:p w14:paraId="19000000" w14:textId="77777777" w:rsidR="00F13F80" w:rsidRDefault="00A16CD6">
      <w:pPr>
        <w:pStyle w:val="31"/>
        <w:tabs>
          <w:tab w:val="left" w:pos="1942"/>
        </w:tabs>
        <w:spacing w:before="120" w:after="120" w:line="240" w:lineRule="auto"/>
        <w:rPr>
          <w:sz w:val="28"/>
        </w:rPr>
      </w:pPr>
      <w:r>
        <w:rPr>
          <w:sz w:val="28"/>
        </w:rPr>
        <w:t>2. Условия и порядок участия в Конкурсе</w:t>
      </w:r>
    </w:p>
    <w:p w14:paraId="1A000000" w14:textId="77777777" w:rsidR="00F13F80" w:rsidRDefault="00A16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2.1. Конкурс проводится среди учащихся общеобразовательных организаций и студентов высших учебных заведений Архангельской области и Ненецкого автономного округа по возрастным категориям:</w:t>
      </w:r>
    </w:p>
    <w:p w14:paraId="1B000000" w14:textId="77777777" w:rsidR="00F13F80" w:rsidRDefault="00A16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«Школьники», подгруппы: 1-5 классы (1 подгруппа), 6-9 классы                     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2 подгруппа), 10-11 классы (3 подгруппа);</w:t>
      </w:r>
    </w:p>
    <w:p w14:paraId="1C000000" w14:textId="77777777" w:rsidR="00F13F80" w:rsidRDefault="00A16C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«Студенты», подгруппы: 1-3 курсы (1 подгруппа), 4-6 курсы (2 подгруппа).</w:t>
      </w:r>
    </w:p>
    <w:p w14:paraId="1D000000" w14:textId="77777777" w:rsidR="00F13F80" w:rsidRDefault="00A16CD6">
      <w:pPr>
        <w:pStyle w:val="23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2.2. В каждой категории и подгруппе на усмотрение участников возможно заявить индивидуальное участие или в составе команды. Команды могут включать от 2 до 5 участников. Одновременное участие и в индивидуальном, и в командном </w:t>
      </w:r>
      <w:r>
        <w:rPr>
          <w:sz w:val="28"/>
        </w:rPr>
        <w:lastRenderedPageBreak/>
        <w:t xml:space="preserve">зачёте не допускается. </w:t>
      </w:r>
    </w:p>
    <w:p w14:paraId="1E000000" w14:textId="77777777" w:rsidR="00F13F80" w:rsidRDefault="00A16CD6">
      <w:pPr>
        <w:pStyle w:val="23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2.3. В состав команды могут входить учащиеся общеобразовательных организаций и студенты высших учебных заведений Архангельской области и Ненецкого автономного округа, соответствующие одной категории и одной подгруппе</w:t>
      </w:r>
      <w:r>
        <w:rPr>
          <w:rStyle w:val="15"/>
          <w:sz w:val="28"/>
        </w:rPr>
        <w:footnoteReference w:id="1"/>
      </w:r>
      <w:r>
        <w:rPr>
          <w:sz w:val="28"/>
        </w:rPr>
        <w:t>. Не ограничивается возможность включения в команду учащихся разных общеобразовательных организаций и студентов высших учебных заведений Архангельской области и Ненецкого автономного округа при условии соответствия одной категории и одной подгруппе.</w:t>
      </w:r>
    </w:p>
    <w:p w14:paraId="1F000000" w14:textId="77777777" w:rsidR="00F13F80" w:rsidRDefault="00A16CD6">
      <w:pPr>
        <w:pStyle w:val="23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2.4. Для участия в Конкурсе индивидуальный участник или команда должны направить заявку (Приложение </w:t>
      </w:r>
      <w:bookmarkStart w:id="2" w:name="_Hlk209457257"/>
      <w:r>
        <w:rPr>
          <w:sz w:val="28"/>
        </w:rPr>
        <w:t>№</w:t>
      </w:r>
      <w:bookmarkEnd w:id="2"/>
      <w:r>
        <w:rPr>
          <w:sz w:val="28"/>
        </w:rPr>
        <w:t xml:space="preserve"> 1) и согласие на обработку персональных данных (Приложение № 2) и (или) согласия на обработку персональных данных ребёнка (Приложение № 3) в прокуратуру Архангельской области и Ненецкого автономного округа по адресу электронной почты obl21@29.mailop.ru с пометкой «Конкурс», приложив результаты творческой работы в виде рисунка (скан-копии/ фото рисунка или электронное графическое изображение) или видеозаписи (далее указанный пакет материалов именуется «заявка»). Оригиналы творческих работ предоставляются в адрес Организатора (г. Архангельск – пр. Новгородский, д. 15, г. </w:t>
      </w:r>
      <w:proofErr w:type="spellStart"/>
      <w:r>
        <w:rPr>
          <w:sz w:val="28"/>
        </w:rPr>
        <w:t>Нарья-Мар</w:t>
      </w:r>
      <w:proofErr w:type="spellEnd"/>
      <w:r>
        <w:rPr>
          <w:sz w:val="28"/>
        </w:rPr>
        <w:t xml:space="preserve"> – ул. им. В.И. Ленина, д. 40) в сроки, установленные для приёма заявок на участие в Конкурсе (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«б» п. 3.2 Положения).</w:t>
      </w:r>
    </w:p>
    <w:p w14:paraId="20000000" w14:textId="77777777" w:rsidR="00F13F80" w:rsidRDefault="00A16CD6">
      <w:pPr>
        <w:pStyle w:val="23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2.5. Подача заявки для участия в Конкурсе по умолчанию подтверждает: ознакомление заявителя с настоящим Положением и добровольное согласие на использование, хранение и публикацию персональных данных участника, а также результатов его работы, в том числе в сети Интернет.</w:t>
      </w:r>
    </w:p>
    <w:p w14:paraId="21000000" w14:textId="77777777" w:rsidR="00F13F80" w:rsidRDefault="00A16CD6">
      <w:pPr>
        <w:pStyle w:val="23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2.6. Для участия в Конкурсе один индивидуальный участник или один представитель команды может подать только одну заявку. При этом индивидуальный участник при подаче заявки от своего имени не может являться участником команды, а участник команды не может подать отдельную индивидуальную заявку от своего имени. </w:t>
      </w:r>
    </w:p>
    <w:p w14:paraId="22000000" w14:textId="77777777" w:rsidR="00F13F80" w:rsidRDefault="00A16CD6">
      <w:pPr>
        <w:pStyle w:val="23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2.7. Предоставленные заявителем документы подлежат конкурсному отбору Организатором в соответствии с настоящим Положением.</w:t>
      </w:r>
    </w:p>
    <w:p w14:paraId="23000000" w14:textId="77777777" w:rsidR="00F13F80" w:rsidRDefault="00A16CD6">
      <w:pPr>
        <w:pStyle w:val="23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2.8. В случае нарушения участником порядка направления заявок Организатор может отказать ему в участии в Конкурсе. </w:t>
      </w:r>
    </w:p>
    <w:p w14:paraId="24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25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ab/>
        <w:t>3. Сроки проведения конкурса</w:t>
      </w:r>
    </w:p>
    <w:p w14:paraId="26000000" w14:textId="77777777" w:rsidR="00F13F80" w:rsidRDefault="00F13F80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</w:p>
    <w:p w14:paraId="27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3.1. Конкурс проводится в заочной форме. </w:t>
      </w:r>
    </w:p>
    <w:p w14:paraId="28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3.2. Сроки проведения:</w:t>
      </w:r>
    </w:p>
    <w:p w14:paraId="29000000" w14:textId="64EEDF2F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а) 1 октября 2025 г. – объявление Конкурса, размещение Положения и сведений о Конкурсе на информационных ресурсах Организатора;</w:t>
      </w:r>
    </w:p>
    <w:p w14:paraId="2A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б) с 1 октября по 24 октября 2025 г. – приём заявок на участие в Конкурсе;</w:t>
      </w:r>
    </w:p>
    <w:p w14:paraId="2B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в) с 25 октября по 05 ноября 2025 г. – конкурсный отбор;</w:t>
      </w:r>
    </w:p>
    <w:p w14:paraId="2D000000" w14:textId="11B41EFF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г) с 12 ноября по 21 ноября 2025 г. – подведение итогов Конкурса, размещение результатов на информационных ресурсах Организатора,  награждение победителей.</w:t>
      </w:r>
    </w:p>
    <w:p w14:paraId="2E000000" w14:textId="77777777" w:rsidR="00F13F80" w:rsidRDefault="00A16CD6">
      <w:pPr>
        <w:pStyle w:val="31"/>
        <w:tabs>
          <w:tab w:val="left" w:pos="3281"/>
        </w:tabs>
        <w:spacing w:after="240" w:line="240" w:lineRule="exact"/>
        <w:ind w:firstLine="709"/>
        <w:rPr>
          <w:sz w:val="28"/>
        </w:rPr>
      </w:pPr>
      <w:r>
        <w:rPr>
          <w:sz w:val="28"/>
        </w:rPr>
        <w:t>4. Конкурсные материалы (проекты)</w:t>
      </w:r>
    </w:p>
    <w:p w14:paraId="2F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4.1. Конкурсные материалы (проект) направляются в форме графического изображения, выполненного способом на усмотрение участника (рисунок, электронное графическое изображение и т.д.), либо видеозаписи. </w:t>
      </w:r>
    </w:p>
    <w:p w14:paraId="30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4.2. Все конкурсные материалы должны быть представлены в виде социальных проектов в рамках следующих аспектов противодействия киберпреступности:</w:t>
      </w:r>
    </w:p>
    <w:p w14:paraId="31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«Моя цифровая культура. Информационная безопасность моей семьи»;</w:t>
      </w:r>
    </w:p>
    <w:p w14:paraId="32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«Мошенничество в Сети: как защитить себя и своих близких?»;</w:t>
      </w:r>
    </w:p>
    <w:p w14:paraId="33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«Я не стану жертвой фишинговой схемы»;</w:t>
      </w:r>
    </w:p>
    <w:p w14:paraId="34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«Мои деньги в безопасности: профилактика банковского мошенничества»;</w:t>
      </w:r>
    </w:p>
    <w:p w14:paraId="35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«Как бороться с </w:t>
      </w:r>
      <w:proofErr w:type="spellStart"/>
      <w:r>
        <w:rPr>
          <w:b w:val="0"/>
          <w:sz w:val="28"/>
        </w:rPr>
        <w:t>дипфейк</w:t>
      </w:r>
      <w:proofErr w:type="spellEnd"/>
      <w:r>
        <w:rPr>
          <w:b w:val="0"/>
          <w:sz w:val="28"/>
        </w:rPr>
        <w:t>-мошенничеством: разговор с друзьями»;</w:t>
      </w:r>
    </w:p>
    <w:p w14:paraId="36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«Смотрю в будущее: я готов защитить себя и семью от новых форм мошенничества». </w:t>
      </w:r>
    </w:p>
    <w:p w14:paraId="37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Перечисленные тематические аспекты не являются конкурсными категориями и применяются исключительно для определения и конкретизации актуальности, социальной значимости и направленности Конкурса, а также в целях ориентирования участников Конкурса при выборе темы социального проекта.</w:t>
      </w:r>
    </w:p>
    <w:p w14:paraId="38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4.3. Тематика социального проекта определяется исключительно по желанию участников Конкурса в процессе подачи заявки на участие в нём в рамках аспектов тематики, перечисленных в п. 4.2 Положения. </w:t>
      </w:r>
    </w:p>
    <w:p w14:paraId="39000000" w14:textId="77777777" w:rsidR="00F13F80" w:rsidRDefault="00F13F80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</w:p>
    <w:p w14:paraId="3A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rPr>
          <w:sz w:val="28"/>
        </w:rPr>
      </w:pPr>
      <w:r>
        <w:rPr>
          <w:sz w:val="28"/>
        </w:rPr>
        <w:t xml:space="preserve">5. Критерии оценки и порядок оценивания представленных </w:t>
      </w:r>
    </w:p>
    <w:p w14:paraId="3B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rPr>
          <w:sz w:val="28"/>
        </w:rPr>
      </w:pPr>
      <w:r>
        <w:rPr>
          <w:sz w:val="28"/>
        </w:rPr>
        <w:t>творческих работ</w:t>
      </w:r>
    </w:p>
    <w:p w14:paraId="3C000000" w14:textId="77777777" w:rsidR="00F13F80" w:rsidRDefault="00F13F80">
      <w:pPr>
        <w:pStyle w:val="31"/>
        <w:tabs>
          <w:tab w:val="left" w:pos="3281"/>
        </w:tabs>
        <w:spacing w:before="0" w:after="0" w:line="240" w:lineRule="auto"/>
        <w:ind w:firstLine="709"/>
        <w:rPr>
          <w:sz w:val="28"/>
        </w:rPr>
      </w:pPr>
    </w:p>
    <w:p w14:paraId="3D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5.1. Организатор оценивает представленный конкурсный материал (проект) по следующим критериям:</w:t>
      </w:r>
    </w:p>
    <w:p w14:paraId="3E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соответствие заявленным целям Конкурса (п. 1.2 Положения) и аспектам тематики социальных проектов (п. 4.2 Положения);</w:t>
      </w:r>
    </w:p>
    <w:p w14:paraId="3F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актуальность, оригинальность, новизна идеи проекта и её фактической реализации;</w:t>
      </w:r>
    </w:p>
    <w:p w14:paraId="40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социальная и практическая значимость проекта; </w:t>
      </w:r>
    </w:p>
    <w:p w14:paraId="41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творческое исполнение, качество графического изображения или видеоконтента. </w:t>
      </w:r>
    </w:p>
    <w:p w14:paraId="42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5.2. По каждому критерию член конкурсной комиссии осуществляет оценку социальных проектов, представленных на Конкурс, по шкале от 1 до 10 баллов. </w:t>
      </w:r>
    </w:p>
    <w:p w14:paraId="43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5.3. Результаты Конкурса определяются по результатам итогового подсчёта (сложения) набранных баллов. По результатам подсчёта составляется рейтинг социальных проектов по убыванию количества набранных баллов. </w:t>
      </w:r>
    </w:p>
    <w:p w14:paraId="44000000" w14:textId="77777777" w:rsidR="00F13F80" w:rsidRDefault="00A16CD6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 xml:space="preserve">5.4. Победителями Конкурса признаются участники, набравшие наибольшее количество баллов и занявшие 1 место в рейтинге по итогам подсчёта набранных баллов. </w:t>
      </w:r>
    </w:p>
    <w:p w14:paraId="45000000" w14:textId="77777777" w:rsidR="00F13F80" w:rsidRDefault="00F13F80">
      <w:pPr>
        <w:pStyle w:val="31"/>
        <w:tabs>
          <w:tab w:val="left" w:pos="3281"/>
        </w:tabs>
        <w:spacing w:before="0" w:after="0" w:line="240" w:lineRule="auto"/>
        <w:ind w:firstLine="709"/>
        <w:jc w:val="both"/>
        <w:rPr>
          <w:b w:val="0"/>
          <w:sz w:val="28"/>
        </w:rPr>
      </w:pPr>
    </w:p>
    <w:p w14:paraId="46000000" w14:textId="77777777" w:rsidR="00F13F80" w:rsidRDefault="00A16CD6">
      <w:pPr>
        <w:pStyle w:val="31"/>
        <w:tabs>
          <w:tab w:val="left" w:pos="1726"/>
        </w:tabs>
        <w:spacing w:before="0" w:after="0" w:line="240" w:lineRule="auto"/>
        <w:ind w:firstLine="709"/>
        <w:rPr>
          <w:sz w:val="28"/>
        </w:rPr>
      </w:pPr>
      <w:r>
        <w:rPr>
          <w:sz w:val="28"/>
        </w:rPr>
        <w:t>6. Подведение итогов конкурса и система поощрения победителей</w:t>
      </w:r>
    </w:p>
    <w:p w14:paraId="47000000" w14:textId="77777777" w:rsidR="00F13F80" w:rsidRDefault="00F13F80">
      <w:pPr>
        <w:pStyle w:val="31"/>
        <w:tabs>
          <w:tab w:val="left" w:pos="1726"/>
        </w:tabs>
        <w:spacing w:before="0" w:after="0" w:line="240" w:lineRule="auto"/>
        <w:ind w:firstLine="709"/>
        <w:rPr>
          <w:sz w:val="28"/>
        </w:rPr>
      </w:pPr>
    </w:p>
    <w:p w14:paraId="48000000" w14:textId="77777777" w:rsidR="00F13F80" w:rsidRDefault="00A16CD6">
      <w:pPr>
        <w:pStyle w:val="23"/>
        <w:tabs>
          <w:tab w:val="left" w:pos="140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6.1. Всем участникам Конкурса вручается электронный сертификат, подтверждающий участие в Конкурсе.</w:t>
      </w:r>
    </w:p>
    <w:p w14:paraId="49000000" w14:textId="77777777" w:rsidR="00F13F80" w:rsidRDefault="00A16CD6">
      <w:pPr>
        <w:pStyle w:val="23"/>
        <w:tabs>
          <w:tab w:val="left" w:pos="140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6.2. Дипломы вручаются участникам Конкурса, занявшим 1, 2 и 3 места в каждой подгруппе категорий участников (п. 2.1 Положения).</w:t>
      </w:r>
    </w:p>
    <w:p w14:paraId="4A000000" w14:textId="77777777" w:rsidR="00F13F80" w:rsidRDefault="00A16CD6">
      <w:pPr>
        <w:pStyle w:val="23"/>
        <w:tabs>
          <w:tab w:val="left" w:pos="140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6.3. Награждение победителей осуществляется в очной форме. Адрес и время проведения церемонии награждения устанавливаются Организатором и партнёрами Конкурса. Информация о церемонии награждения размещается на информационных ресурсах Организатора в день подведения итогов конкурса. </w:t>
      </w:r>
    </w:p>
    <w:p w14:paraId="4B000000" w14:textId="77777777" w:rsidR="00F13F80" w:rsidRDefault="00A16CD6">
      <w:pPr>
        <w:pStyle w:val="23"/>
        <w:tabs>
          <w:tab w:val="left" w:pos="140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6.4. По решению Организатора и партнёров Конкурса участникам, занявшим 1 место (из каждой подгруппы категорий участников), могут вручаться памятные подарки. </w:t>
      </w:r>
    </w:p>
    <w:sectPr w:rsidR="00F13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567" w:bottom="102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CFFC1" w14:textId="77777777" w:rsidR="007A6F5E" w:rsidRDefault="00A16CD6">
      <w:r>
        <w:separator/>
      </w:r>
    </w:p>
  </w:endnote>
  <w:endnote w:type="continuationSeparator" w:id="0">
    <w:p w14:paraId="545052B5" w14:textId="77777777" w:rsidR="007A6F5E" w:rsidRDefault="00A1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E7971" w14:textId="77777777" w:rsidR="001E6E4C" w:rsidRDefault="001E6E4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DFBD" w14:textId="77777777" w:rsidR="001E6E4C" w:rsidRDefault="001E6E4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FA871" w14:textId="77777777" w:rsidR="001E6E4C" w:rsidRDefault="001E6E4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7A9E" w14:textId="77777777" w:rsidR="007A6F5E" w:rsidRDefault="00A16CD6">
      <w:r>
        <w:separator/>
      </w:r>
    </w:p>
  </w:footnote>
  <w:footnote w:type="continuationSeparator" w:id="0">
    <w:p w14:paraId="2B8E579A" w14:textId="77777777" w:rsidR="007A6F5E" w:rsidRDefault="00A16CD6">
      <w:r>
        <w:continuationSeparator/>
      </w:r>
    </w:p>
  </w:footnote>
  <w:footnote w:id="1">
    <w:p w14:paraId="4C000000" w14:textId="77777777" w:rsidR="00F13F80" w:rsidRDefault="00A16CD6">
      <w:pPr>
        <w:pStyle w:val="Footnote"/>
        <w:jc w:val="both"/>
      </w:pPr>
      <w:r>
        <w:rPr>
          <w:vertAlign w:val="superscript"/>
        </w:rPr>
        <w:footnoteRef/>
      </w:r>
      <w:r>
        <w:t xml:space="preserve"> Пояснение: к примеру, школьники 1 и 5 классов могут входить в одну команду (1 подгруппа категории «Школьники»), тогда как включение в указанную команду студента 1 курса будет противоречить правилам, так как он входит в другую категорию (категория «Студенты»). Равным образом в указанной команде также не может принять участие школьник 8 класса, так как он соответствует другой подгруппе данной категории (2 подгруппа категории «Школьники»).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0000" w14:textId="77777777" w:rsidR="00F13F80" w:rsidRDefault="00A16CD6">
    <w:pPr>
      <w:pStyle w:val="a5"/>
      <w:jc w:val="center"/>
      <w:rPr>
        <w:rStyle w:val="1e"/>
      </w:rPr>
    </w:pPr>
    <w:r>
      <w:rPr>
        <w:rStyle w:val="1e"/>
      </w:rPr>
      <w:fldChar w:fldCharType="begin"/>
    </w:r>
    <w:r>
      <w:rPr>
        <w:rStyle w:val="1e"/>
      </w:rPr>
      <w:instrText xml:space="preserve">PAGE </w:instrText>
    </w:r>
    <w:r>
      <w:rPr>
        <w:rStyle w:val="1e"/>
      </w:rPr>
      <w:fldChar w:fldCharType="separate"/>
    </w:r>
    <w:r>
      <w:rPr>
        <w:rStyle w:val="1e"/>
      </w:rPr>
      <w:t xml:space="preserve"> </w:t>
    </w:r>
    <w:r>
      <w:rPr>
        <w:rStyle w:val="1e"/>
      </w:rPr>
      <w:fldChar w:fldCharType="end"/>
    </w:r>
  </w:p>
  <w:p w14:paraId="04000000" w14:textId="77777777" w:rsidR="00F13F80" w:rsidRDefault="00F13F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1B8DE92F" w:rsidR="00F13F80" w:rsidRDefault="001E6E4C">
    <w:pPr>
      <w:pStyle w:val="a5"/>
      <w:jc w:val="center"/>
      <w:rPr>
        <w:rStyle w:val="1e"/>
        <w:rFonts w:ascii="Times New Roman" w:hAnsi="Times New Roman"/>
        <w:sz w:val="24"/>
      </w:rPr>
    </w:pPr>
    <w:r>
      <w:rPr>
        <w:rStyle w:val="1e"/>
        <w:rFonts w:ascii="Times New Roman" w:hAnsi="Times New Roman"/>
        <w:sz w:val="24"/>
      </w:rPr>
      <w:t>6</w:t>
    </w:r>
    <w:bookmarkStart w:id="3" w:name="_GoBack"/>
    <w:bookmarkEnd w:id="3"/>
  </w:p>
  <w:p w14:paraId="02000000" w14:textId="77777777" w:rsidR="00F13F80" w:rsidRDefault="00F13F8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638551"/>
      <w:docPartObj>
        <w:docPartGallery w:val="Page Numbers (Top of Page)"/>
        <w:docPartUnique/>
      </w:docPartObj>
    </w:sdtPr>
    <w:sdtContent>
      <w:p w14:paraId="5F2DAD4C" w14:textId="7E27BBA0" w:rsidR="001E6E4C" w:rsidRDefault="001E6E4C">
        <w:pPr>
          <w:pStyle w:val="a5"/>
          <w:jc w:val="center"/>
        </w:pPr>
        <w:r>
          <w:t>3</w:t>
        </w:r>
      </w:p>
    </w:sdtContent>
  </w:sdt>
  <w:p w14:paraId="5B60DD65" w14:textId="77777777" w:rsidR="001E6E4C" w:rsidRDefault="001E6E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46A8D"/>
    <w:multiLevelType w:val="multilevel"/>
    <w:tmpl w:val="C6D2E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80"/>
    <w:rsid w:val="001E6E4C"/>
    <w:rsid w:val="007A6F5E"/>
    <w:rsid w:val="00A16CD6"/>
    <w:rsid w:val="00F1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D0CA"/>
  <w15:docId w15:val="{77D7B41D-99F8-4CFE-9017-0D126DCB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sz w:val="24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 w:line="317" w:lineRule="exact"/>
      <w:ind w:left="1220" w:hanging="1220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25">
    <w:name w:val="Body Text 2"/>
    <w:basedOn w:val="a"/>
    <w:link w:val="26"/>
    <w:pPr>
      <w:jc w:val="center"/>
    </w:pPr>
    <w:rPr>
      <w:b/>
    </w:rPr>
  </w:style>
  <w:style w:type="character" w:customStyle="1" w:styleId="26">
    <w:name w:val="Основной текст 2 Знак"/>
    <w:basedOn w:val="1"/>
    <w:link w:val="25"/>
    <w:rPr>
      <w:b/>
      <w:sz w:val="24"/>
    </w:rPr>
  </w:style>
  <w:style w:type="paragraph" w:customStyle="1" w:styleId="12">
    <w:name w:val="Знак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Pr>
      <w:rFonts w:ascii="Tahoma" w:hAnsi="Tahoma"/>
      <w:sz w:val="20"/>
    </w:rPr>
  </w:style>
  <w:style w:type="paragraph" w:customStyle="1" w:styleId="31">
    <w:name w:val="Основной текст (3)"/>
    <w:basedOn w:val="a"/>
    <w:link w:val="32"/>
    <w:pPr>
      <w:widowControl w:val="0"/>
      <w:spacing w:before="240" w:after="360" w:line="0" w:lineRule="atLeast"/>
      <w:jc w:val="center"/>
    </w:pPr>
    <w:rPr>
      <w:b/>
      <w:sz w:val="26"/>
    </w:rPr>
  </w:style>
  <w:style w:type="character" w:customStyle="1" w:styleId="32">
    <w:name w:val="Основной текст (3)"/>
    <w:basedOn w:val="1"/>
    <w:link w:val="31"/>
    <w:rPr>
      <w:b/>
      <w:sz w:val="26"/>
    </w:rPr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vertAlign w:val="superscript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563C1"/>
      <w:u w:val="single"/>
    </w:rPr>
  </w:style>
  <w:style w:type="character" w:customStyle="1" w:styleId="17">
    <w:name w:val="Гиперссылка1"/>
    <w:link w:val="16"/>
    <w:rPr>
      <w:color w:val="0563C1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Хэштег1"/>
    <w:link w:val="19"/>
    <w:rPr>
      <w:color w:val="605E5C"/>
      <w:shd w:val="clear" w:color="auto" w:fill="E1DFDD"/>
    </w:rPr>
  </w:style>
  <w:style w:type="character" w:customStyle="1" w:styleId="19">
    <w:name w:val="Хэштег1"/>
    <w:link w:val="18"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27">
    <w:name w:val="Гиперссылка2"/>
    <w:link w:val="ab"/>
    <w:rPr>
      <w:color w:val="0000FF"/>
      <w:u w:val="single"/>
    </w:rPr>
  </w:style>
  <w:style w:type="character" w:styleId="ab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Номер страницы1"/>
    <w:basedOn w:val="12"/>
    <w:link w:val="1e"/>
  </w:style>
  <w:style w:type="character" w:customStyle="1" w:styleId="1e">
    <w:name w:val="Номер страницы1"/>
    <w:basedOn w:val="13"/>
    <w:link w:val="1d"/>
    <w:rPr>
      <w:rFonts w:ascii="Tahoma" w:hAnsi="Tahoma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1165</Words>
  <Characters>6645</Characters>
  <Application>Microsoft Office Word</Application>
  <DocSecurity>0</DocSecurity>
  <Lines>55</Lines>
  <Paragraphs>15</Paragraphs>
  <ScaleCrop>false</ScaleCrop>
  <Company>Прокуратура РФ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Пушкина Ольга Александровна</cp:lastModifiedBy>
  <cp:revision>3</cp:revision>
  <dcterms:created xsi:type="dcterms:W3CDTF">2025-09-30T04:58:00Z</dcterms:created>
  <dcterms:modified xsi:type="dcterms:W3CDTF">2025-09-30T06:27:00Z</dcterms:modified>
</cp:coreProperties>
</file>